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113"/>
        <w:gridCol w:w="1857"/>
      </w:tblGrid>
      <w:tr>
        <w:trPr>
          <w:trHeight w:val="3229" w:hRule="atLeast"/>
        </w:trPr>
        <w:tc>
          <w:tcPr>
            <w:tcW w:w="9970" w:type="dxa"/>
            <w:gridSpan w:val="2"/>
            <w:tcBorders>
              <w:bottom w:val="single" w:sz="4" w:space="0" w:color="000000"/>
            </w:tcBorders>
          </w:tcPr>
          <w:p>
            <w:pPr>
              <w:pStyle w:val="TableParagraph"/>
              <w:spacing w:before="3"/>
              <w:ind w:left="0" w:right="0"/>
              <w:jc w:val="left"/>
              <w:rPr>
                <w:rFonts w:ascii="Times New Roman"/>
                <w:sz w:val="6"/>
              </w:rPr>
            </w:pPr>
          </w:p>
          <w:p>
            <w:pPr>
              <w:pStyle w:val="TableParagraph"/>
              <w:ind w:left="192" w:right="0"/>
              <w:jc w:val="left"/>
              <w:rPr>
                <w:rFonts w:ascii="Times New Roman"/>
                <w:sz w:val="20"/>
              </w:rPr>
            </w:pPr>
            <w:r>
              <w:rPr>
                <w:rFonts w:ascii="Times New Roman"/>
                <w:sz w:val="20"/>
              </w:rPr>
              <w:drawing>
                <wp:inline distT="0" distB="0" distL="0" distR="0">
                  <wp:extent cx="6078665" cy="155276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078665" cy="1552765"/>
                          </a:xfrm>
                          <a:prstGeom prst="rect">
                            <a:avLst/>
                          </a:prstGeom>
                        </pic:spPr>
                      </pic:pic>
                    </a:graphicData>
                  </a:graphic>
                </wp:inline>
              </w:drawing>
            </w:r>
            <w:r>
              <w:rPr>
                <w:rFonts w:ascii="Times New Roman"/>
                <w:sz w:val="20"/>
              </w:rPr>
            </w:r>
          </w:p>
          <w:p>
            <w:pPr>
              <w:pStyle w:val="TableParagraph"/>
              <w:spacing w:line="275" w:lineRule="exact" w:before="112"/>
              <w:ind w:left="3052" w:right="3004"/>
              <w:rPr>
                <w:sz w:val="24"/>
              </w:rPr>
            </w:pPr>
            <w:r>
              <w:rPr>
                <w:sz w:val="24"/>
              </w:rPr>
              <w:t>Director: Lic. Vicberto Romero Mora</w:t>
            </w:r>
          </w:p>
          <w:p>
            <w:pPr>
              <w:pStyle w:val="TableParagraph"/>
              <w:tabs>
                <w:tab w:pos="7332" w:val="left" w:leader="none"/>
              </w:tabs>
              <w:spacing w:line="304" w:lineRule="exact"/>
              <w:ind w:left="969" w:right="0"/>
              <w:jc w:val="left"/>
              <w:rPr>
                <w:sz w:val="28"/>
              </w:rPr>
            </w:pPr>
            <w:r>
              <w:rPr>
                <w:spacing w:val="-8"/>
                <w:sz w:val="28"/>
              </w:rPr>
              <w:t>Sección</w:t>
            </w:r>
            <w:r>
              <w:rPr>
                <w:spacing w:val="-15"/>
                <w:sz w:val="28"/>
              </w:rPr>
              <w:t> </w:t>
            </w:r>
            <w:r>
              <w:rPr>
                <w:spacing w:val="-8"/>
                <w:sz w:val="28"/>
              </w:rPr>
              <w:t>Cuarta</w:t>
              <w:tab/>
            </w:r>
            <w:r>
              <w:rPr>
                <w:spacing w:val="-7"/>
                <w:sz w:val="28"/>
              </w:rPr>
              <w:t>Tomo</w:t>
            </w:r>
            <w:r>
              <w:rPr>
                <w:spacing w:val="-18"/>
                <w:sz w:val="28"/>
              </w:rPr>
              <w:t> </w:t>
            </w:r>
            <w:r>
              <w:rPr>
                <w:spacing w:val="-6"/>
                <w:sz w:val="28"/>
              </w:rPr>
              <w:t>CCVI</w:t>
            </w:r>
          </w:p>
        </w:tc>
      </w:tr>
      <w:tr>
        <w:trPr>
          <w:trHeight w:val="645" w:hRule="atLeast"/>
        </w:trPr>
        <w:tc>
          <w:tcPr>
            <w:tcW w:w="8113" w:type="dxa"/>
            <w:tcBorders>
              <w:top w:val="single" w:sz="4" w:space="0" w:color="000000"/>
              <w:bottom w:val="single" w:sz="4" w:space="0" w:color="000000"/>
              <w:right w:val="single" w:sz="4" w:space="0" w:color="000000"/>
            </w:tcBorders>
          </w:tcPr>
          <w:p>
            <w:pPr>
              <w:pStyle w:val="TableParagraph"/>
              <w:spacing w:before="159"/>
              <w:ind w:left="1818" w:right="1729"/>
              <w:rPr>
                <w:sz w:val="28"/>
              </w:rPr>
            </w:pPr>
            <w:r>
              <w:rPr>
                <w:sz w:val="28"/>
              </w:rPr>
              <w:t>Tepic, Nayarit; 16 de Enero de 2020</w:t>
            </w:r>
          </w:p>
        </w:tc>
        <w:tc>
          <w:tcPr>
            <w:tcW w:w="1857" w:type="dxa"/>
            <w:tcBorders>
              <w:top w:val="single" w:sz="4" w:space="0" w:color="000000"/>
              <w:left w:val="single" w:sz="4" w:space="0" w:color="000000"/>
              <w:bottom w:val="single" w:sz="4" w:space="0" w:color="000000"/>
            </w:tcBorders>
          </w:tcPr>
          <w:p>
            <w:pPr>
              <w:pStyle w:val="TableParagraph"/>
              <w:spacing w:line="321" w:lineRule="exact"/>
              <w:ind w:left="87" w:right="0"/>
              <w:jc w:val="left"/>
              <w:rPr>
                <w:sz w:val="28"/>
              </w:rPr>
            </w:pPr>
            <w:r>
              <w:rPr>
                <w:sz w:val="28"/>
              </w:rPr>
              <w:t>Número:</w:t>
            </w:r>
            <w:r>
              <w:rPr>
                <w:spacing w:val="-1"/>
                <w:sz w:val="28"/>
              </w:rPr>
              <w:t> </w:t>
            </w:r>
            <w:r>
              <w:rPr>
                <w:sz w:val="28"/>
              </w:rPr>
              <w:t>011</w:t>
            </w:r>
          </w:p>
          <w:p>
            <w:pPr>
              <w:pStyle w:val="TableParagraph"/>
              <w:tabs>
                <w:tab w:pos="1255" w:val="left" w:leader="none"/>
              </w:tabs>
              <w:spacing w:line="305" w:lineRule="exact"/>
              <w:ind w:left="87" w:right="0"/>
              <w:jc w:val="left"/>
              <w:rPr>
                <w:sz w:val="28"/>
              </w:rPr>
            </w:pPr>
            <w:r>
              <w:rPr>
                <w:sz w:val="28"/>
              </w:rPr>
              <w:t>Tiraje:</w:t>
              <w:tab/>
              <w:t>030</w:t>
            </w:r>
          </w:p>
        </w:tc>
      </w:tr>
      <w:tr>
        <w:trPr>
          <w:trHeight w:val="10161" w:hRule="atLeast"/>
        </w:trPr>
        <w:tc>
          <w:tcPr>
            <w:tcW w:w="9970" w:type="dxa"/>
            <w:gridSpan w:val="2"/>
            <w:tcBorders>
              <w:top w:val="single" w:sz="4" w:space="0" w:color="000000"/>
            </w:tcBorders>
          </w:tcPr>
          <w:p>
            <w:pPr>
              <w:pStyle w:val="TableParagraph"/>
              <w:ind w:left="3047" w:right="3004"/>
              <w:rPr>
                <w:b/>
                <w:sz w:val="32"/>
              </w:rPr>
            </w:pPr>
            <w:r>
              <w:rPr>
                <w:b/>
                <w:sz w:val="32"/>
              </w:rPr>
              <w:t>SUMARIO</w:t>
            </w:r>
          </w:p>
          <w:p>
            <w:pPr>
              <w:pStyle w:val="TableParagraph"/>
              <w:ind w:left="0" w:right="0"/>
              <w:jc w:val="left"/>
              <w:rPr>
                <w:rFonts w:ascii="Times New Roman"/>
                <w:sz w:val="36"/>
              </w:rPr>
            </w:pPr>
          </w:p>
          <w:p>
            <w:pPr>
              <w:pStyle w:val="TableParagraph"/>
              <w:ind w:left="0" w:right="0"/>
              <w:jc w:val="left"/>
              <w:rPr>
                <w:rFonts w:ascii="Times New Roman"/>
                <w:sz w:val="36"/>
              </w:rPr>
            </w:pPr>
          </w:p>
          <w:p>
            <w:pPr>
              <w:pStyle w:val="TableParagraph"/>
              <w:ind w:left="0" w:right="0"/>
              <w:jc w:val="left"/>
              <w:rPr>
                <w:rFonts w:ascii="Times New Roman"/>
                <w:sz w:val="36"/>
              </w:rPr>
            </w:pPr>
          </w:p>
          <w:p>
            <w:pPr>
              <w:pStyle w:val="TableParagraph"/>
              <w:ind w:left="0" w:right="0"/>
              <w:jc w:val="left"/>
              <w:rPr>
                <w:rFonts w:ascii="Times New Roman"/>
                <w:sz w:val="36"/>
              </w:rPr>
            </w:pPr>
          </w:p>
          <w:p>
            <w:pPr>
              <w:pStyle w:val="TableParagraph"/>
              <w:ind w:left="0" w:right="0"/>
              <w:jc w:val="left"/>
              <w:rPr>
                <w:rFonts w:ascii="Times New Roman"/>
                <w:sz w:val="36"/>
              </w:rPr>
            </w:pPr>
          </w:p>
          <w:p>
            <w:pPr>
              <w:pStyle w:val="TableParagraph"/>
              <w:ind w:left="0" w:right="0"/>
              <w:jc w:val="left"/>
              <w:rPr>
                <w:rFonts w:ascii="Times New Roman"/>
                <w:sz w:val="36"/>
              </w:rPr>
            </w:pPr>
          </w:p>
          <w:p>
            <w:pPr>
              <w:pStyle w:val="TableParagraph"/>
              <w:ind w:left="0" w:right="0"/>
              <w:jc w:val="left"/>
              <w:rPr>
                <w:rFonts w:ascii="Times New Roman"/>
                <w:sz w:val="36"/>
              </w:rPr>
            </w:pPr>
          </w:p>
          <w:p>
            <w:pPr>
              <w:pStyle w:val="TableParagraph"/>
              <w:spacing w:before="10"/>
              <w:ind w:left="0" w:right="0"/>
              <w:jc w:val="left"/>
              <w:rPr>
                <w:rFonts w:ascii="Times New Roman"/>
                <w:sz w:val="45"/>
              </w:rPr>
            </w:pPr>
          </w:p>
          <w:p>
            <w:pPr>
              <w:pStyle w:val="TableParagraph"/>
              <w:spacing w:line="360" w:lineRule="auto" w:before="1"/>
              <w:ind w:left="167" w:right="116"/>
              <w:jc w:val="both"/>
              <w:rPr>
                <w:b/>
                <w:sz w:val="28"/>
              </w:rPr>
            </w:pPr>
            <w:r>
              <w:rPr>
                <w:b/>
                <w:sz w:val="28"/>
              </w:rPr>
              <w:t>ACUERDO POR EL QUE SE DA A CONOCER LA DISTRIBUCIÓN DEL FONDO DE APORTACIONES PARA EL FORTALECIMIENTO DE LOS MUNICIPIOS ENTRE CADA UNO DE LOS MUNICIPIOS DEL ESTADO DE NAYARIT PARA EL EJERCICIO FISCAL 2020</w:t>
            </w:r>
          </w:p>
        </w:tc>
      </w:tr>
    </w:tbl>
    <w:p>
      <w:pPr>
        <w:rPr>
          <w:sz w:val="2"/>
          <w:szCs w:val="2"/>
        </w:rPr>
      </w:pPr>
      <w:r>
        <w:rPr/>
        <w:drawing>
          <wp:anchor distT="0" distB="0" distL="0" distR="0" allowOverlap="1" layoutInCell="1" locked="0" behindDoc="1" simplePos="0" relativeHeight="251362304">
            <wp:simplePos x="0" y="0"/>
            <wp:positionH relativeFrom="page">
              <wp:posOffset>1326849</wp:posOffset>
            </wp:positionH>
            <wp:positionV relativeFrom="page">
              <wp:posOffset>2199131</wp:posOffset>
            </wp:positionV>
            <wp:extent cx="5026051" cy="514826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026051" cy="5148262"/>
                    </a:xfrm>
                    <a:prstGeom prst="rect">
                      <a:avLst/>
                    </a:prstGeom>
                  </pic:spPr>
                </pic:pic>
              </a:graphicData>
            </a:graphic>
          </wp:anchor>
        </w:drawing>
      </w:r>
    </w:p>
    <w:p>
      <w:pPr>
        <w:spacing w:after="0"/>
        <w:rPr>
          <w:sz w:val="2"/>
          <w:szCs w:val="2"/>
        </w:rPr>
        <w:sectPr>
          <w:type w:val="continuous"/>
          <w:pgSz w:w="12250" w:h="15850"/>
          <w:pgMar w:top="800" w:bottom="280" w:left="1000" w:right="980"/>
        </w:sectPr>
      </w:pPr>
    </w:p>
    <w:p>
      <w:pPr>
        <w:pStyle w:val="Heading1"/>
        <w:spacing w:before="113"/>
      </w:pPr>
      <w:r>
        <w:rPr/>
        <w:t>ACUERDO POR EL QUE SE DA A CONOCER LA DISTRIBUCIÓN DEL FONDO DE APORTACIONES PARA EL FORTALECIMIENTO DE LOS MUNICIPIOS ENTRE CADA UNO DE LOS MUNICIPIOS DEL ESTADO DE NAYARIT PARA EL EJERCICIO FISCAL 2020</w:t>
      </w:r>
    </w:p>
    <w:p>
      <w:pPr>
        <w:pStyle w:val="BodyText"/>
        <w:spacing w:before="1"/>
        <w:rPr>
          <w:b/>
        </w:rPr>
      </w:pPr>
    </w:p>
    <w:p>
      <w:pPr>
        <w:pStyle w:val="BodyText"/>
        <w:ind w:left="260" w:right="277"/>
        <w:jc w:val="both"/>
      </w:pPr>
      <w:r>
        <w:rPr/>
        <w:drawing>
          <wp:anchor distT="0" distB="0" distL="0" distR="0" allowOverlap="1" layoutInCell="1" locked="0" behindDoc="1" simplePos="0" relativeHeight="251363328">
            <wp:simplePos x="0" y="0"/>
            <wp:positionH relativeFrom="page">
              <wp:posOffset>1317324</wp:posOffset>
            </wp:positionH>
            <wp:positionV relativeFrom="paragraph">
              <wp:posOffset>564843</wp:posOffset>
            </wp:positionV>
            <wp:extent cx="5022642" cy="5144770"/>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5022642" cy="5144770"/>
                    </a:xfrm>
                    <a:prstGeom prst="rect">
                      <a:avLst/>
                    </a:prstGeom>
                  </pic:spPr>
                </pic:pic>
              </a:graphicData>
            </a:graphic>
          </wp:anchor>
        </w:drawing>
      </w:r>
      <w:r>
        <w:rPr/>
        <w:t>El Presupuesto de Egresos de la Federación para el ejercicio fiscal del 2020, en sus artículos 4, primer párrafo, fracciones XVII, segundo párrafo, y XVIII párrafos primero y segundo, y XX; 8, fracción I y Anexos 1.C, 22 y 31 C, prevé recursos en el Ramo 33 Aportaciones Federales para Entidades Federativas y Municipios; asimismo, el Acuerdo publicado en el Diario Oficial de la Federación el día 3 de enero del año 2020, por el que se da a conocer a los Gobiernos de las Entidades Federativas la Distribución y Calendarización para la Ministración durante </w:t>
      </w:r>
      <w:r>
        <w:rPr>
          <w:spacing w:val="3"/>
        </w:rPr>
        <w:t>el </w:t>
      </w:r>
      <w:r>
        <w:rPr/>
        <w:t>Ejercicio Fiscal 2020, de los recursos correspondientes al Ramo 33 Aportaciones Federales para Entidades Federativas y Municipios, a que se refiere el Capítulo V de la Ley de Coordinación Fiscal contempla el Fondo de Aportaciones para el Fortalecimiento de los</w:t>
      </w:r>
      <w:r>
        <w:rPr>
          <w:spacing w:val="-3"/>
        </w:rPr>
        <w:t> </w:t>
      </w:r>
      <w:r>
        <w:rPr/>
        <w:t>Municipios.</w:t>
      </w:r>
    </w:p>
    <w:p>
      <w:pPr>
        <w:pStyle w:val="BodyText"/>
      </w:pPr>
    </w:p>
    <w:p>
      <w:pPr>
        <w:pStyle w:val="BodyText"/>
        <w:spacing w:before="1"/>
        <w:ind w:left="260" w:right="275"/>
        <w:jc w:val="both"/>
      </w:pPr>
      <w:r>
        <w:rPr/>
        <w:t>Que los recursos de dicho Fondo deben ser distribuidos entre los municipios de acuerdo con lo establecido en el capítulo V de la Ley de Coordinación Fiscal, debiendo publicar las variables y fórmula utilizada para determinar los montos que correspondan a cada Municipio y la misma Ley de Coordinación Fiscal establece en el último párrafo del artículo 38, que las Entidades Federativas distribuirán el Fondo de Aportaciones para el Fortalecimiento de los Municipios, que correspondan a sus Municipios, en proporción directa al número de habitantes con que cuente cada uno de ellos.</w:t>
      </w:r>
    </w:p>
    <w:p>
      <w:pPr>
        <w:pStyle w:val="BodyText"/>
      </w:pPr>
    </w:p>
    <w:p>
      <w:pPr>
        <w:pStyle w:val="BodyText"/>
        <w:ind w:left="260" w:right="271"/>
        <w:jc w:val="both"/>
      </w:pPr>
      <w:r>
        <w:rPr/>
        <w:t>En tal virtud, y con fundamento en lo dispuesto en el Capítulo V de la Ley de Coordinación Fiscal, 4 primer párrafo fracciones XVII segundo párrafo y XVIII párrafos primero y segundo, y XX; 8 fracción I y Anexos 1.C, 22 y 31 C, del Decreto de Presupuesto de Egresos de la Federación para el ejercicio fiscal 2020, 69 fracción IV y 75 de la Constitución Política del Estado, 7, 18 y 31, fracciones I, II y III, 32 fracción XIV, 33 fracción V, y 34 fracción XXVII de la Ley Orgánica del Poder Ejecutivo del Estado de Nayarit, se emite el</w:t>
      </w:r>
      <w:r>
        <w:rPr>
          <w:spacing w:val="-3"/>
        </w:rPr>
        <w:t> </w:t>
      </w:r>
      <w:r>
        <w:rPr/>
        <w:t>siguiente:</w:t>
      </w:r>
    </w:p>
    <w:p>
      <w:pPr>
        <w:pStyle w:val="BodyText"/>
        <w:rPr>
          <w:sz w:val="26"/>
        </w:rPr>
      </w:pPr>
    </w:p>
    <w:p>
      <w:pPr>
        <w:pStyle w:val="BodyText"/>
        <w:rPr>
          <w:sz w:val="22"/>
        </w:rPr>
      </w:pPr>
    </w:p>
    <w:p>
      <w:pPr>
        <w:pStyle w:val="Heading1"/>
      </w:pPr>
      <w:r>
        <w:rPr/>
        <w:t>ACUERDO POR EL QUE SE DA A CONOCER LA DISTRIBUCIÓN DEL FONDO DE APORTACIONES PARA EL FORTALECIMIENTO DE LOS MUNICIPIOS ENTRE CADA UNO DE LOS MUNICIPIOS DEL ESTADO DE NAYARIT PARA EL EJERCICIO FISCAL 2020</w:t>
      </w:r>
    </w:p>
    <w:p>
      <w:pPr>
        <w:pStyle w:val="BodyText"/>
        <w:rPr>
          <w:b/>
          <w:sz w:val="26"/>
        </w:rPr>
      </w:pPr>
    </w:p>
    <w:p>
      <w:pPr>
        <w:pStyle w:val="BodyText"/>
        <w:spacing w:before="1"/>
        <w:rPr>
          <w:b/>
          <w:sz w:val="22"/>
        </w:rPr>
      </w:pPr>
    </w:p>
    <w:p>
      <w:pPr>
        <w:pStyle w:val="BodyText"/>
        <w:ind w:left="260" w:right="284"/>
        <w:jc w:val="both"/>
      </w:pPr>
      <w:r>
        <w:rPr>
          <w:b/>
        </w:rPr>
        <w:t>PRIMERO. </w:t>
      </w:r>
      <w:r>
        <w:rPr/>
        <w:t>El presente Acuerdo tiene por objeto dar a conocer la formula para la distribución entre los municipios de las aportaciones federales, previstas en el Fondo de Aportaciones para el Fortalecimientos de los Municipios para el ejercicio fiscal de 2020, así como las asignaciones presupuestales resultantes de la aplicación de dicha formula.</w:t>
      </w:r>
    </w:p>
    <w:p>
      <w:pPr>
        <w:pStyle w:val="BodyText"/>
      </w:pPr>
    </w:p>
    <w:p>
      <w:pPr>
        <w:pStyle w:val="BodyText"/>
        <w:ind w:left="260" w:right="285"/>
        <w:jc w:val="both"/>
      </w:pPr>
      <w:r>
        <w:rPr>
          <w:b/>
        </w:rPr>
        <w:t>SEGUNDO. </w:t>
      </w:r>
      <w:r>
        <w:rPr/>
        <w:t>El total de los recursos que forman el Fondo de Aportaciones para el Fortalecimiento de los Municipios para el ejercicio fiscal de 2020, asciende a la cantidad de</w:t>
      </w:r>
    </w:p>
    <w:p>
      <w:pPr>
        <w:pStyle w:val="BodyText"/>
        <w:ind w:left="260" w:right="282"/>
        <w:jc w:val="both"/>
      </w:pPr>
      <w:r>
        <w:rPr/>
        <w:t>$893,255,065.00 (Ochocientos Noventa y Tres Millones Doscientos Cincuenta y Cinco Mil Sesenta y Cinco Pesos 00/100 Moneda Nacional).</w:t>
      </w:r>
    </w:p>
    <w:p>
      <w:pPr>
        <w:spacing w:after="0"/>
        <w:jc w:val="both"/>
        <w:sectPr>
          <w:headerReference w:type="default" r:id="rId7"/>
          <w:pgSz w:w="12250" w:h="15850"/>
          <w:pgMar w:header="730" w:footer="0" w:top="1000" w:bottom="280" w:left="1000" w:right="980"/>
        </w:sectPr>
      </w:pPr>
    </w:p>
    <w:p>
      <w:pPr>
        <w:pStyle w:val="BodyText"/>
        <w:spacing w:before="113"/>
        <w:ind w:left="260" w:right="280"/>
        <w:jc w:val="both"/>
      </w:pPr>
      <w:r>
        <w:rPr>
          <w:b/>
        </w:rPr>
        <w:t>TERCERO. </w:t>
      </w:r>
      <w:r>
        <w:rPr/>
        <w:t>Las aportaciones de este Fondo se destinarán a la satisfacción de sus requerimientos de los municipios, dando prioridad al cumplimiento de sus obligaciones financieras, al pago de derechos y aprovechamientos por concepto de agua y a la atención de las necesidades directamente vinculadas con la seguridad pública de sus habitantes.</w:t>
      </w:r>
    </w:p>
    <w:p>
      <w:pPr>
        <w:pStyle w:val="BodyText"/>
        <w:spacing w:before="1"/>
      </w:pPr>
    </w:p>
    <w:p>
      <w:pPr>
        <w:pStyle w:val="BodyText"/>
        <w:ind w:left="260" w:right="281"/>
        <w:jc w:val="both"/>
      </w:pPr>
      <w:r>
        <w:rPr>
          <w:b/>
        </w:rPr>
        <w:t>CUARTO. </w:t>
      </w:r>
      <w:r>
        <w:rPr/>
        <w:t>La fórmula aplicada para la distribución de este Fondo entre los municipios es la siguiente:</w:t>
      </w:r>
    </w:p>
    <w:p>
      <w:pPr>
        <w:pStyle w:val="BodyText"/>
      </w:pPr>
    </w:p>
    <w:p>
      <w:pPr>
        <w:pStyle w:val="BodyText"/>
        <w:spacing w:line="480" w:lineRule="auto"/>
        <w:ind w:left="260" w:right="1945"/>
      </w:pPr>
      <w:r>
        <w:rPr/>
        <w:drawing>
          <wp:anchor distT="0" distB="0" distL="0" distR="0" allowOverlap="1" layoutInCell="1" locked="0" behindDoc="1" simplePos="0" relativeHeight="251364352">
            <wp:simplePos x="0" y="0"/>
            <wp:positionH relativeFrom="page">
              <wp:posOffset>1307799</wp:posOffset>
            </wp:positionH>
            <wp:positionV relativeFrom="paragraph">
              <wp:posOffset>20013</wp:posOffset>
            </wp:positionV>
            <wp:extent cx="5022642" cy="5144770"/>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5022642" cy="5144770"/>
                    </a:xfrm>
                    <a:prstGeom prst="rect">
                      <a:avLst/>
                    </a:prstGeom>
                  </pic:spPr>
                </pic:pic>
              </a:graphicData>
            </a:graphic>
          </wp:anchor>
        </w:drawing>
      </w:r>
      <w:r>
        <w:rPr/>
        <w:t>Primeramente, determinar la proporción que corresponde a cada municipio: PM/PT=FD</w:t>
      </w:r>
    </w:p>
    <w:p>
      <w:pPr>
        <w:pStyle w:val="BodyText"/>
        <w:spacing w:line="240" w:lineRule="exact"/>
        <w:ind w:left="260"/>
        <w:jc w:val="both"/>
      </w:pPr>
      <w:r>
        <w:rPr/>
        <w:t>Una vez determinada la proporción por municipio se determina el monto correspondiente:</w:t>
      </w:r>
    </w:p>
    <w:p>
      <w:pPr>
        <w:pStyle w:val="BodyText"/>
        <w:spacing w:before="10"/>
        <w:rPr>
          <w:sz w:val="20"/>
        </w:rPr>
      </w:pPr>
    </w:p>
    <w:p>
      <w:pPr>
        <w:pStyle w:val="BodyText"/>
        <w:ind w:left="260"/>
      </w:pPr>
      <w:r>
        <w:rPr/>
        <w:t>MF*FD=MM</w:t>
      </w:r>
    </w:p>
    <w:p>
      <w:pPr>
        <w:pStyle w:val="BodyText"/>
      </w:pPr>
    </w:p>
    <w:p>
      <w:pPr>
        <w:pStyle w:val="BodyText"/>
        <w:spacing w:before="1"/>
        <w:ind w:left="260"/>
        <w:jc w:val="both"/>
      </w:pPr>
      <w:r>
        <w:rPr/>
        <w:t>En donde:</w:t>
      </w:r>
    </w:p>
    <w:p>
      <w:pPr>
        <w:pStyle w:val="BodyText"/>
        <w:spacing w:before="11"/>
        <w:rPr>
          <w:sz w:val="23"/>
        </w:rPr>
      </w:pPr>
    </w:p>
    <w:p>
      <w:pPr>
        <w:pStyle w:val="BodyText"/>
        <w:ind w:left="260"/>
      </w:pPr>
      <w:r>
        <w:rPr/>
        <w:t>PM es Población por Municipio</w:t>
      </w:r>
    </w:p>
    <w:p>
      <w:pPr>
        <w:pStyle w:val="BodyText"/>
        <w:spacing w:before="10"/>
        <w:rPr>
          <w:sz w:val="20"/>
        </w:rPr>
      </w:pPr>
    </w:p>
    <w:p>
      <w:pPr>
        <w:pStyle w:val="BodyText"/>
        <w:spacing w:line="448" w:lineRule="auto"/>
        <w:ind w:left="260" w:right="5080"/>
      </w:pPr>
      <w:r>
        <w:rPr/>
        <w:t>PT es Población Total en el Estado de Nayarit FD es Factor de Distribución por Municipio</w:t>
      </w:r>
    </w:p>
    <w:p>
      <w:pPr>
        <w:pStyle w:val="BodyText"/>
        <w:spacing w:line="448" w:lineRule="auto"/>
        <w:ind w:left="260" w:right="3934"/>
      </w:pPr>
      <w:r>
        <w:rPr/>
        <w:t>MF es Monto Federal a Distribuir en el Estado de Nayarit MM es Monto Municipal a Distribuir</w:t>
      </w:r>
    </w:p>
    <w:p>
      <w:pPr>
        <w:pStyle w:val="BodyText"/>
        <w:spacing w:before="36"/>
        <w:ind w:left="260" w:right="283"/>
        <w:jc w:val="both"/>
      </w:pPr>
      <w:r>
        <w:rPr>
          <w:b/>
        </w:rPr>
        <w:t>QUINTO. </w:t>
      </w:r>
      <w:r>
        <w:rPr/>
        <w:t>Para el cálculo de la formula descrita en el presente Acuerdo se utilizaron los datos de la Encuesta Intercensal 2015, publicados por el Instituto Nacional de Estadística y Geografía.</w:t>
      </w:r>
    </w:p>
    <w:p>
      <w:pPr>
        <w:pStyle w:val="BodyText"/>
      </w:pPr>
    </w:p>
    <w:p>
      <w:pPr>
        <w:pStyle w:val="BodyText"/>
        <w:ind w:left="260"/>
      </w:pPr>
      <w:r>
        <w:rPr>
          <w:b/>
        </w:rPr>
        <w:t>SEXTO. </w:t>
      </w:r>
      <w:r>
        <w:rPr/>
        <w:t>La distribución municipal que resulta de aplicar la formula antes descrita es la siguiente:</w:t>
      </w:r>
    </w:p>
    <w:p>
      <w:pPr>
        <w:pStyle w:val="BodyText"/>
      </w:pPr>
    </w:p>
    <w:tbl>
      <w:tblPr>
        <w:tblW w:w="0" w:type="auto"/>
        <w:jc w:val="lef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0"/>
        <w:gridCol w:w="4288"/>
      </w:tblGrid>
      <w:tr>
        <w:trPr>
          <w:trHeight w:val="275" w:hRule="atLeast"/>
        </w:trPr>
        <w:tc>
          <w:tcPr>
            <w:tcW w:w="4220" w:type="dxa"/>
          </w:tcPr>
          <w:p>
            <w:pPr>
              <w:pStyle w:val="TableParagraph"/>
              <w:spacing w:line="255" w:lineRule="exact"/>
              <w:ind w:left="943" w:right="941"/>
              <w:rPr>
                <w:b/>
                <w:sz w:val="24"/>
              </w:rPr>
            </w:pPr>
            <w:r>
              <w:rPr>
                <w:b/>
                <w:sz w:val="24"/>
              </w:rPr>
              <w:t>MUNICIPIO</w:t>
            </w:r>
          </w:p>
        </w:tc>
        <w:tc>
          <w:tcPr>
            <w:tcW w:w="4288" w:type="dxa"/>
          </w:tcPr>
          <w:p>
            <w:pPr>
              <w:pStyle w:val="TableParagraph"/>
              <w:spacing w:line="255" w:lineRule="exact"/>
              <w:rPr>
                <w:b/>
                <w:sz w:val="24"/>
              </w:rPr>
            </w:pPr>
            <w:r>
              <w:rPr>
                <w:b/>
                <w:sz w:val="24"/>
              </w:rPr>
              <w:t>TOTAL</w:t>
            </w:r>
          </w:p>
        </w:tc>
      </w:tr>
      <w:tr>
        <w:trPr>
          <w:trHeight w:val="340" w:hRule="atLeast"/>
        </w:trPr>
        <w:tc>
          <w:tcPr>
            <w:tcW w:w="4220" w:type="dxa"/>
          </w:tcPr>
          <w:p>
            <w:pPr>
              <w:pStyle w:val="TableParagraph"/>
              <w:spacing w:before="2"/>
              <w:ind w:left="943" w:right="942"/>
              <w:rPr>
                <w:sz w:val="24"/>
              </w:rPr>
            </w:pPr>
            <w:r>
              <w:rPr>
                <w:sz w:val="24"/>
              </w:rPr>
              <w:t>Tepic</w:t>
            </w:r>
          </w:p>
        </w:tc>
        <w:tc>
          <w:tcPr>
            <w:tcW w:w="4288" w:type="dxa"/>
          </w:tcPr>
          <w:p>
            <w:pPr>
              <w:pStyle w:val="TableParagraph"/>
              <w:spacing w:line="255" w:lineRule="exact" w:before="65"/>
              <w:ind w:right="1284"/>
              <w:rPr>
                <w:sz w:val="24"/>
              </w:rPr>
            </w:pPr>
            <w:r>
              <w:rPr>
                <w:sz w:val="24"/>
              </w:rPr>
              <w:t>312,821,168.39</w:t>
            </w:r>
          </w:p>
        </w:tc>
      </w:tr>
      <w:tr>
        <w:trPr>
          <w:trHeight w:val="341" w:hRule="atLeast"/>
        </w:trPr>
        <w:tc>
          <w:tcPr>
            <w:tcW w:w="4220" w:type="dxa"/>
          </w:tcPr>
          <w:p>
            <w:pPr>
              <w:pStyle w:val="TableParagraph"/>
              <w:spacing w:before="1"/>
              <w:ind w:left="943" w:right="939"/>
              <w:rPr>
                <w:sz w:val="24"/>
              </w:rPr>
            </w:pPr>
            <w:r>
              <w:rPr>
                <w:sz w:val="24"/>
              </w:rPr>
              <w:t>Acaponeta</w:t>
            </w:r>
          </w:p>
        </w:tc>
        <w:tc>
          <w:tcPr>
            <w:tcW w:w="4288" w:type="dxa"/>
          </w:tcPr>
          <w:p>
            <w:pPr>
              <w:pStyle w:val="TableParagraph"/>
              <w:spacing w:line="255" w:lineRule="exact" w:before="65"/>
              <w:rPr>
                <w:sz w:val="24"/>
              </w:rPr>
            </w:pPr>
            <w:r>
              <w:rPr>
                <w:sz w:val="24"/>
              </w:rPr>
              <w:t>28,217,648.04</w:t>
            </w:r>
          </w:p>
        </w:tc>
      </w:tr>
      <w:tr>
        <w:trPr>
          <w:trHeight w:val="340" w:hRule="atLeast"/>
        </w:trPr>
        <w:tc>
          <w:tcPr>
            <w:tcW w:w="4220" w:type="dxa"/>
          </w:tcPr>
          <w:p>
            <w:pPr>
              <w:pStyle w:val="TableParagraph"/>
              <w:ind w:left="943" w:right="942"/>
              <w:rPr>
                <w:sz w:val="24"/>
              </w:rPr>
            </w:pPr>
            <w:r>
              <w:rPr>
                <w:sz w:val="24"/>
              </w:rPr>
              <w:t>Amatlán de Cañas</w:t>
            </w:r>
          </w:p>
        </w:tc>
        <w:tc>
          <w:tcPr>
            <w:tcW w:w="4288" w:type="dxa"/>
          </w:tcPr>
          <w:p>
            <w:pPr>
              <w:pStyle w:val="TableParagraph"/>
              <w:spacing w:line="255" w:lineRule="exact" w:before="65"/>
              <w:rPr>
                <w:sz w:val="24"/>
              </w:rPr>
            </w:pPr>
            <w:r>
              <w:rPr>
                <w:sz w:val="24"/>
              </w:rPr>
              <w:t>8,963,181.72</w:t>
            </w:r>
          </w:p>
        </w:tc>
      </w:tr>
      <w:tr>
        <w:trPr>
          <w:trHeight w:val="340" w:hRule="atLeast"/>
        </w:trPr>
        <w:tc>
          <w:tcPr>
            <w:tcW w:w="4220" w:type="dxa"/>
          </w:tcPr>
          <w:p>
            <w:pPr>
              <w:pStyle w:val="TableParagraph"/>
              <w:ind w:left="943" w:right="939"/>
              <w:rPr>
                <w:sz w:val="24"/>
              </w:rPr>
            </w:pPr>
            <w:r>
              <w:rPr>
                <w:sz w:val="24"/>
              </w:rPr>
              <w:t>Ahuacatlán</w:t>
            </w:r>
          </w:p>
        </w:tc>
        <w:tc>
          <w:tcPr>
            <w:tcW w:w="4288" w:type="dxa"/>
          </w:tcPr>
          <w:p>
            <w:pPr>
              <w:pStyle w:val="TableParagraph"/>
              <w:spacing w:line="255" w:lineRule="exact" w:before="65"/>
              <w:rPr>
                <w:sz w:val="24"/>
              </w:rPr>
            </w:pPr>
            <w:r>
              <w:rPr>
                <w:sz w:val="24"/>
              </w:rPr>
              <w:t>12,065,617.93</w:t>
            </w:r>
          </w:p>
        </w:tc>
      </w:tr>
      <w:tr>
        <w:trPr>
          <w:trHeight w:val="340" w:hRule="atLeast"/>
        </w:trPr>
        <w:tc>
          <w:tcPr>
            <w:tcW w:w="4220" w:type="dxa"/>
          </w:tcPr>
          <w:p>
            <w:pPr>
              <w:pStyle w:val="TableParagraph"/>
              <w:ind w:left="943" w:right="938"/>
              <w:rPr>
                <w:sz w:val="24"/>
              </w:rPr>
            </w:pPr>
            <w:r>
              <w:rPr>
                <w:sz w:val="24"/>
              </w:rPr>
              <w:t>Compostela</w:t>
            </w:r>
          </w:p>
        </w:tc>
        <w:tc>
          <w:tcPr>
            <w:tcW w:w="4288" w:type="dxa"/>
          </w:tcPr>
          <w:p>
            <w:pPr>
              <w:pStyle w:val="TableParagraph"/>
              <w:spacing w:line="255" w:lineRule="exact" w:before="65"/>
              <w:rPr>
                <w:sz w:val="24"/>
              </w:rPr>
            </w:pPr>
            <w:r>
              <w:rPr>
                <w:sz w:val="24"/>
              </w:rPr>
              <w:t>57,117,499.27</w:t>
            </w:r>
          </w:p>
        </w:tc>
      </w:tr>
      <w:tr>
        <w:trPr>
          <w:trHeight w:val="338" w:hRule="atLeast"/>
        </w:trPr>
        <w:tc>
          <w:tcPr>
            <w:tcW w:w="4220" w:type="dxa"/>
          </w:tcPr>
          <w:p>
            <w:pPr>
              <w:pStyle w:val="TableParagraph"/>
              <w:ind w:left="943" w:right="939"/>
              <w:rPr>
                <w:sz w:val="24"/>
              </w:rPr>
            </w:pPr>
            <w:r>
              <w:rPr>
                <w:sz w:val="24"/>
              </w:rPr>
              <w:t>Ixtlán del Río</w:t>
            </w:r>
          </w:p>
        </w:tc>
        <w:tc>
          <w:tcPr>
            <w:tcW w:w="4288" w:type="dxa"/>
          </w:tcPr>
          <w:p>
            <w:pPr>
              <w:pStyle w:val="TableParagraph"/>
              <w:spacing w:line="255" w:lineRule="exact" w:before="62"/>
              <w:ind w:right="1280"/>
              <w:rPr>
                <w:sz w:val="24"/>
              </w:rPr>
            </w:pPr>
            <w:r>
              <w:rPr>
                <w:sz w:val="24"/>
              </w:rPr>
              <w:t>22,247,982.03</w:t>
            </w:r>
          </w:p>
        </w:tc>
      </w:tr>
      <w:tr>
        <w:trPr>
          <w:trHeight w:val="340" w:hRule="atLeast"/>
        </w:trPr>
        <w:tc>
          <w:tcPr>
            <w:tcW w:w="4220" w:type="dxa"/>
          </w:tcPr>
          <w:p>
            <w:pPr>
              <w:pStyle w:val="TableParagraph"/>
              <w:spacing w:before="2"/>
              <w:ind w:left="943" w:right="940"/>
              <w:rPr>
                <w:sz w:val="24"/>
              </w:rPr>
            </w:pPr>
            <w:r>
              <w:rPr>
                <w:sz w:val="24"/>
              </w:rPr>
              <w:t>Jala</w:t>
            </w:r>
          </w:p>
        </w:tc>
        <w:tc>
          <w:tcPr>
            <w:tcW w:w="4288" w:type="dxa"/>
          </w:tcPr>
          <w:p>
            <w:pPr>
              <w:pStyle w:val="TableParagraph"/>
              <w:spacing w:line="255" w:lineRule="exact" w:before="65"/>
              <w:rPr>
                <w:sz w:val="24"/>
              </w:rPr>
            </w:pPr>
            <w:r>
              <w:rPr>
                <w:sz w:val="24"/>
              </w:rPr>
              <w:t>14,052,477.97</w:t>
            </w:r>
          </w:p>
        </w:tc>
      </w:tr>
      <w:tr>
        <w:trPr>
          <w:trHeight w:val="340" w:hRule="atLeast"/>
        </w:trPr>
        <w:tc>
          <w:tcPr>
            <w:tcW w:w="4220" w:type="dxa"/>
          </w:tcPr>
          <w:p>
            <w:pPr>
              <w:pStyle w:val="TableParagraph"/>
              <w:ind w:left="943" w:right="941"/>
              <w:rPr>
                <w:sz w:val="24"/>
              </w:rPr>
            </w:pPr>
            <w:r>
              <w:rPr>
                <w:sz w:val="24"/>
              </w:rPr>
              <w:t>Rosamorada</w:t>
            </w:r>
          </w:p>
        </w:tc>
        <w:tc>
          <w:tcPr>
            <w:tcW w:w="4288" w:type="dxa"/>
          </w:tcPr>
          <w:p>
            <w:pPr>
              <w:pStyle w:val="TableParagraph"/>
              <w:spacing w:line="255" w:lineRule="exact" w:before="65"/>
              <w:rPr>
                <w:sz w:val="24"/>
              </w:rPr>
            </w:pPr>
            <w:r>
              <w:rPr>
                <w:sz w:val="24"/>
              </w:rPr>
              <w:t>25,640,099.88</w:t>
            </w:r>
          </w:p>
        </w:tc>
      </w:tr>
      <w:tr>
        <w:trPr>
          <w:trHeight w:val="340" w:hRule="atLeast"/>
        </w:trPr>
        <w:tc>
          <w:tcPr>
            <w:tcW w:w="4220" w:type="dxa"/>
          </w:tcPr>
          <w:p>
            <w:pPr>
              <w:pStyle w:val="TableParagraph"/>
              <w:ind w:left="943" w:right="940"/>
              <w:rPr>
                <w:sz w:val="24"/>
              </w:rPr>
            </w:pPr>
            <w:r>
              <w:rPr>
                <w:sz w:val="24"/>
              </w:rPr>
              <w:t>Ruiz</w:t>
            </w:r>
          </w:p>
        </w:tc>
        <w:tc>
          <w:tcPr>
            <w:tcW w:w="4288" w:type="dxa"/>
          </w:tcPr>
          <w:p>
            <w:pPr>
              <w:pStyle w:val="TableParagraph"/>
              <w:spacing w:line="255" w:lineRule="exact" w:before="65"/>
              <w:rPr>
                <w:sz w:val="24"/>
              </w:rPr>
            </w:pPr>
            <w:r>
              <w:rPr>
                <w:sz w:val="24"/>
              </w:rPr>
              <w:t>18,713,695.50</w:t>
            </w:r>
          </w:p>
        </w:tc>
      </w:tr>
      <w:tr>
        <w:trPr>
          <w:trHeight w:val="340" w:hRule="atLeast"/>
        </w:trPr>
        <w:tc>
          <w:tcPr>
            <w:tcW w:w="4220" w:type="dxa"/>
          </w:tcPr>
          <w:p>
            <w:pPr>
              <w:pStyle w:val="TableParagraph"/>
              <w:ind w:left="943" w:right="939"/>
              <w:rPr>
                <w:sz w:val="24"/>
              </w:rPr>
            </w:pPr>
            <w:r>
              <w:rPr>
                <w:sz w:val="24"/>
              </w:rPr>
              <w:t>San Blas</w:t>
            </w:r>
          </w:p>
        </w:tc>
        <w:tc>
          <w:tcPr>
            <w:tcW w:w="4288" w:type="dxa"/>
          </w:tcPr>
          <w:p>
            <w:pPr>
              <w:pStyle w:val="TableParagraph"/>
              <w:spacing w:line="255" w:lineRule="exact" w:before="65"/>
              <w:rPr>
                <w:sz w:val="24"/>
              </w:rPr>
            </w:pPr>
            <w:r>
              <w:rPr>
                <w:sz w:val="24"/>
              </w:rPr>
              <w:t>33,262,321.24</w:t>
            </w:r>
          </w:p>
        </w:tc>
      </w:tr>
      <w:tr>
        <w:trPr>
          <w:trHeight w:val="340" w:hRule="atLeast"/>
        </w:trPr>
        <w:tc>
          <w:tcPr>
            <w:tcW w:w="4220" w:type="dxa"/>
          </w:tcPr>
          <w:p>
            <w:pPr>
              <w:pStyle w:val="TableParagraph"/>
              <w:ind w:left="943" w:right="942"/>
              <w:rPr>
                <w:sz w:val="24"/>
              </w:rPr>
            </w:pPr>
            <w:r>
              <w:rPr>
                <w:sz w:val="24"/>
              </w:rPr>
              <w:t>Santa María del Oro</w:t>
            </w:r>
          </w:p>
        </w:tc>
        <w:tc>
          <w:tcPr>
            <w:tcW w:w="4288" w:type="dxa"/>
          </w:tcPr>
          <w:p>
            <w:pPr>
              <w:pStyle w:val="TableParagraph"/>
              <w:spacing w:line="256" w:lineRule="exact" w:before="65"/>
              <w:rPr>
                <w:sz w:val="24"/>
              </w:rPr>
            </w:pPr>
            <w:r>
              <w:rPr>
                <w:sz w:val="24"/>
              </w:rPr>
              <w:t>17,756,190.81</w:t>
            </w:r>
          </w:p>
        </w:tc>
      </w:tr>
    </w:tbl>
    <w:p>
      <w:pPr>
        <w:spacing w:after="0" w:line="256" w:lineRule="exact"/>
        <w:rPr>
          <w:sz w:val="24"/>
        </w:rPr>
        <w:sectPr>
          <w:headerReference w:type="default" r:id="rId8"/>
          <w:pgSz w:w="12250" w:h="15850"/>
          <w:pgMar w:header="730" w:footer="0" w:top="1000" w:bottom="280" w:left="1000" w:right="980"/>
        </w:sectPr>
      </w:pPr>
    </w:p>
    <w:p>
      <w:pPr>
        <w:pStyle w:val="BodyText"/>
        <w:spacing w:before="9"/>
        <w:rPr>
          <w:sz w:val="9"/>
        </w:rPr>
      </w:pPr>
    </w:p>
    <w:tbl>
      <w:tblPr>
        <w:tblW w:w="0" w:type="auto"/>
        <w:jc w:val="lef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0"/>
        <w:gridCol w:w="4288"/>
      </w:tblGrid>
      <w:tr>
        <w:trPr>
          <w:trHeight w:val="277" w:hRule="atLeast"/>
        </w:trPr>
        <w:tc>
          <w:tcPr>
            <w:tcW w:w="4220" w:type="dxa"/>
          </w:tcPr>
          <w:p>
            <w:pPr>
              <w:pStyle w:val="TableParagraph"/>
              <w:spacing w:line="255" w:lineRule="exact" w:before="2"/>
              <w:ind w:left="943" w:right="941"/>
              <w:rPr>
                <w:b/>
                <w:sz w:val="24"/>
              </w:rPr>
            </w:pPr>
            <w:r>
              <w:rPr>
                <w:b/>
                <w:sz w:val="24"/>
              </w:rPr>
              <w:t>MUNICIPIO</w:t>
            </w:r>
          </w:p>
        </w:tc>
        <w:tc>
          <w:tcPr>
            <w:tcW w:w="4288" w:type="dxa"/>
          </w:tcPr>
          <w:p>
            <w:pPr>
              <w:pStyle w:val="TableParagraph"/>
              <w:spacing w:line="255" w:lineRule="exact" w:before="2"/>
              <w:rPr>
                <w:b/>
                <w:sz w:val="24"/>
              </w:rPr>
            </w:pPr>
            <w:r>
              <w:rPr>
                <w:b/>
                <w:sz w:val="24"/>
              </w:rPr>
              <w:t>TOTAL</w:t>
            </w:r>
          </w:p>
        </w:tc>
      </w:tr>
      <w:tr>
        <w:trPr>
          <w:trHeight w:val="338" w:hRule="atLeast"/>
        </w:trPr>
        <w:tc>
          <w:tcPr>
            <w:tcW w:w="4220" w:type="dxa"/>
          </w:tcPr>
          <w:p>
            <w:pPr>
              <w:pStyle w:val="TableParagraph"/>
              <w:ind w:left="943" w:right="942"/>
              <w:rPr>
                <w:sz w:val="24"/>
              </w:rPr>
            </w:pPr>
            <w:r>
              <w:rPr>
                <w:sz w:val="24"/>
              </w:rPr>
              <w:t>Santiago Ixcuintla</w:t>
            </w:r>
          </w:p>
        </w:tc>
        <w:tc>
          <w:tcPr>
            <w:tcW w:w="4288" w:type="dxa"/>
          </w:tcPr>
          <w:p>
            <w:pPr>
              <w:pStyle w:val="TableParagraph"/>
              <w:spacing w:line="255" w:lineRule="exact" w:before="63"/>
              <w:rPr>
                <w:sz w:val="24"/>
              </w:rPr>
            </w:pPr>
            <w:r>
              <w:rPr>
                <w:sz w:val="24"/>
              </w:rPr>
              <w:t>73,983,498.12</w:t>
            </w:r>
          </w:p>
        </w:tc>
      </w:tr>
      <w:tr>
        <w:trPr>
          <w:trHeight w:val="340" w:hRule="atLeast"/>
        </w:trPr>
        <w:tc>
          <w:tcPr>
            <w:tcW w:w="4220" w:type="dxa"/>
          </w:tcPr>
          <w:p>
            <w:pPr>
              <w:pStyle w:val="TableParagraph"/>
              <w:spacing w:before="2"/>
              <w:ind w:left="943" w:right="938"/>
              <w:rPr>
                <w:sz w:val="24"/>
              </w:rPr>
            </w:pPr>
            <w:r>
              <w:rPr>
                <w:sz w:val="24"/>
              </w:rPr>
              <w:t>Tecuala</w:t>
            </w:r>
          </w:p>
        </w:tc>
        <w:tc>
          <w:tcPr>
            <w:tcW w:w="4288" w:type="dxa"/>
          </w:tcPr>
          <w:p>
            <w:pPr>
              <w:pStyle w:val="TableParagraph"/>
              <w:spacing w:line="255" w:lineRule="exact" w:before="65"/>
              <w:rPr>
                <w:sz w:val="24"/>
              </w:rPr>
            </w:pPr>
            <w:r>
              <w:rPr>
                <w:sz w:val="24"/>
              </w:rPr>
              <w:t>30,039,629.71</w:t>
            </w:r>
          </w:p>
        </w:tc>
      </w:tr>
      <w:tr>
        <w:trPr>
          <w:trHeight w:val="340" w:hRule="atLeast"/>
        </w:trPr>
        <w:tc>
          <w:tcPr>
            <w:tcW w:w="4220" w:type="dxa"/>
          </w:tcPr>
          <w:p>
            <w:pPr>
              <w:pStyle w:val="TableParagraph"/>
              <w:ind w:left="943" w:right="939"/>
              <w:rPr>
                <w:sz w:val="24"/>
              </w:rPr>
            </w:pPr>
            <w:r>
              <w:rPr>
                <w:sz w:val="24"/>
              </w:rPr>
              <w:t>Tuxpan</w:t>
            </w:r>
          </w:p>
        </w:tc>
        <w:tc>
          <w:tcPr>
            <w:tcW w:w="4288" w:type="dxa"/>
          </w:tcPr>
          <w:p>
            <w:pPr>
              <w:pStyle w:val="TableParagraph"/>
              <w:spacing w:line="255" w:lineRule="exact" w:before="65"/>
              <w:rPr>
                <w:sz w:val="24"/>
              </w:rPr>
            </w:pPr>
            <w:r>
              <w:rPr>
                <w:sz w:val="24"/>
              </w:rPr>
              <w:t>23,117,006.95</w:t>
            </w:r>
          </w:p>
        </w:tc>
      </w:tr>
      <w:tr>
        <w:trPr>
          <w:trHeight w:val="340" w:hRule="atLeast"/>
        </w:trPr>
        <w:tc>
          <w:tcPr>
            <w:tcW w:w="4220" w:type="dxa"/>
          </w:tcPr>
          <w:p>
            <w:pPr>
              <w:pStyle w:val="TableParagraph"/>
              <w:ind w:left="943" w:right="939"/>
              <w:rPr>
                <w:sz w:val="24"/>
              </w:rPr>
            </w:pPr>
            <w:r>
              <w:rPr>
                <w:sz w:val="24"/>
              </w:rPr>
              <w:t>Xalisco</w:t>
            </w:r>
          </w:p>
        </w:tc>
        <w:tc>
          <w:tcPr>
            <w:tcW w:w="4288" w:type="dxa"/>
          </w:tcPr>
          <w:p>
            <w:pPr>
              <w:pStyle w:val="TableParagraph"/>
              <w:spacing w:line="255" w:lineRule="exact" w:before="65"/>
              <w:rPr>
                <w:sz w:val="24"/>
              </w:rPr>
            </w:pPr>
            <w:r>
              <w:rPr>
                <w:sz w:val="24"/>
              </w:rPr>
              <w:t>43,426,543.60</w:t>
            </w:r>
          </w:p>
        </w:tc>
      </w:tr>
      <w:tr>
        <w:trPr>
          <w:trHeight w:val="340" w:hRule="atLeast"/>
        </w:trPr>
        <w:tc>
          <w:tcPr>
            <w:tcW w:w="4220" w:type="dxa"/>
          </w:tcPr>
          <w:p>
            <w:pPr>
              <w:pStyle w:val="TableParagraph"/>
              <w:ind w:left="943" w:right="944"/>
              <w:rPr>
                <w:sz w:val="24"/>
              </w:rPr>
            </w:pPr>
            <w:r>
              <w:rPr>
                <w:sz w:val="24"/>
              </w:rPr>
              <w:t>San Pedro Lagunillas</w:t>
            </w:r>
          </w:p>
        </w:tc>
        <w:tc>
          <w:tcPr>
            <w:tcW w:w="4288" w:type="dxa"/>
          </w:tcPr>
          <w:p>
            <w:pPr>
              <w:pStyle w:val="TableParagraph"/>
              <w:spacing w:line="255" w:lineRule="exact" w:before="65"/>
              <w:rPr>
                <w:sz w:val="24"/>
              </w:rPr>
            </w:pPr>
            <w:r>
              <w:rPr>
                <w:sz w:val="24"/>
              </w:rPr>
              <w:t>5,671,664.82</w:t>
            </w:r>
          </w:p>
        </w:tc>
      </w:tr>
      <w:tr>
        <w:trPr>
          <w:trHeight w:val="275" w:hRule="atLeast"/>
        </w:trPr>
        <w:tc>
          <w:tcPr>
            <w:tcW w:w="4220" w:type="dxa"/>
          </w:tcPr>
          <w:p>
            <w:pPr>
              <w:pStyle w:val="TableParagraph"/>
              <w:spacing w:line="255" w:lineRule="exact"/>
              <w:ind w:left="943" w:right="941"/>
              <w:rPr>
                <w:sz w:val="24"/>
              </w:rPr>
            </w:pPr>
            <w:r>
              <w:rPr>
                <w:sz w:val="24"/>
              </w:rPr>
              <w:t>La Yesca</w:t>
            </w:r>
          </w:p>
        </w:tc>
        <w:tc>
          <w:tcPr>
            <w:tcW w:w="4288" w:type="dxa"/>
          </w:tcPr>
          <w:p>
            <w:pPr>
              <w:pStyle w:val="TableParagraph"/>
              <w:spacing w:line="255" w:lineRule="exact"/>
              <w:rPr>
                <w:sz w:val="24"/>
              </w:rPr>
            </w:pPr>
            <w:r>
              <w:rPr>
                <w:sz w:val="24"/>
              </w:rPr>
              <w:t>10,826,761.15</w:t>
            </w:r>
          </w:p>
        </w:tc>
      </w:tr>
      <w:tr>
        <w:trPr>
          <w:trHeight w:val="275" w:hRule="atLeast"/>
        </w:trPr>
        <w:tc>
          <w:tcPr>
            <w:tcW w:w="4220" w:type="dxa"/>
          </w:tcPr>
          <w:p>
            <w:pPr>
              <w:pStyle w:val="TableParagraph"/>
              <w:spacing w:line="255" w:lineRule="exact"/>
              <w:ind w:left="943" w:right="942"/>
              <w:rPr>
                <w:sz w:val="24"/>
              </w:rPr>
            </w:pPr>
            <w:r>
              <w:rPr>
                <w:sz w:val="24"/>
              </w:rPr>
              <w:t>Del Nayar</w:t>
            </w:r>
          </w:p>
        </w:tc>
        <w:tc>
          <w:tcPr>
            <w:tcW w:w="4288" w:type="dxa"/>
          </w:tcPr>
          <w:p>
            <w:pPr>
              <w:pStyle w:val="TableParagraph"/>
              <w:spacing w:line="255" w:lineRule="exact"/>
              <w:rPr>
                <w:sz w:val="24"/>
              </w:rPr>
            </w:pPr>
            <w:r>
              <w:rPr>
                <w:sz w:val="24"/>
              </w:rPr>
              <w:t>32,154,308.31</w:t>
            </w:r>
          </w:p>
        </w:tc>
      </w:tr>
      <w:tr>
        <w:trPr>
          <w:trHeight w:val="275" w:hRule="atLeast"/>
        </w:trPr>
        <w:tc>
          <w:tcPr>
            <w:tcW w:w="4220" w:type="dxa"/>
          </w:tcPr>
          <w:p>
            <w:pPr>
              <w:pStyle w:val="TableParagraph"/>
              <w:spacing w:line="255" w:lineRule="exact"/>
              <w:ind w:left="943" w:right="941"/>
              <w:rPr>
                <w:sz w:val="24"/>
              </w:rPr>
            </w:pPr>
            <w:r>
              <w:rPr>
                <w:sz w:val="24"/>
              </w:rPr>
              <w:t>Huajicori</w:t>
            </w:r>
          </w:p>
        </w:tc>
        <w:tc>
          <w:tcPr>
            <w:tcW w:w="4288" w:type="dxa"/>
          </w:tcPr>
          <w:p>
            <w:pPr>
              <w:pStyle w:val="TableParagraph"/>
              <w:spacing w:line="255" w:lineRule="exact"/>
              <w:rPr>
                <w:sz w:val="24"/>
              </w:rPr>
            </w:pPr>
            <w:r>
              <w:rPr>
                <w:sz w:val="24"/>
              </w:rPr>
              <w:t>9,540,256.03</w:t>
            </w:r>
          </w:p>
        </w:tc>
      </w:tr>
      <w:tr>
        <w:trPr>
          <w:trHeight w:val="275" w:hRule="atLeast"/>
        </w:trPr>
        <w:tc>
          <w:tcPr>
            <w:tcW w:w="4220" w:type="dxa"/>
          </w:tcPr>
          <w:p>
            <w:pPr>
              <w:pStyle w:val="TableParagraph"/>
              <w:spacing w:line="255" w:lineRule="exact"/>
              <w:ind w:left="943" w:right="939"/>
              <w:rPr>
                <w:sz w:val="24"/>
              </w:rPr>
            </w:pPr>
            <w:r>
              <w:rPr>
                <w:sz w:val="24"/>
              </w:rPr>
              <w:t>Bahía de Banderas</w:t>
            </w:r>
          </w:p>
        </w:tc>
        <w:tc>
          <w:tcPr>
            <w:tcW w:w="4288" w:type="dxa"/>
          </w:tcPr>
          <w:p>
            <w:pPr>
              <w:pStyle w:val="TableParagraph"/>
              <w:spacing w:line="255" w:lineRule="exact"/>
              <w:ind w:right="1284"/>
              <w:rPr>
                <w:sz w:val="24"/>
              </w:rPr>
            </w:pPr>
            <w:r>
              <w:rPr>
                <w:sz w:val="24"/>
              </w:rPr>
              <w:t>113,637,503.51</w:t>
            </w:r>
          </w:p>
        </w:tc>
      </w:tr>
      <w:tr>
        <w:trPr>
          <w:trHeight w:val="553" w:hRule="atLeast"/>
        </w:trPr>
        <w:tc>
          <w:tcPr>
            <w:tcW w:w="4220" w:type="dxa"/>
          </w:tcPr>
          <w:p>
            <w:pPr>
              <w:pStyle w:val="TableParagraph"/>
              <w:spacing w:line="270" w:lineRule="atLeast" w:before="2"/>
              <w:ind w:left="1605" w:right="545" w:hanging="1040"/>
              <w:jc w:val="left"/>
              <w:rPr>
                <w:b/>
                <w:sz w:val="24"/>
              </w:rPr>
            </w:pPr>
            <w:r>
              <w:rPr>
                <w:b/>
                <w:sz w:val="24"/>
              </w:rPr>
              <w:t>IMPORTE TOTAL PARA EL ESTADO</w:t>
            </w:r>
          </w:p>
        </w:tc>
        <w:tc>
          <w:tcPr>
            <w:tcW w:w="4288" w:type="dxa"/>
          </w:tcPr>
          <w:p>
            <w:pPr>
              <w:pStyle w:val="TableParagraph"/>
              <w:spacing w:before="2"/>
              <w:ind w:left="0" w:right="0"/>
              <w:jc w:val="left"/>
              <w:rPr>
                <w:sz w:val="24"/>
              </w:rPr>
            </w:pPr>
          </w:p>
          <w:p>
            <w:pPr>
              <w:pStyle w:val="TableParagraph"/>
              <w:spacing w:line="255" w:lineRule="exact"/>
              <w:ind w:right="1284"/>
              <w:rPr>
                <w:b/>
                <w:sz w:val="24"/>
              </w:rPr>
            </w:pPr>
            <w:r>
              <w:rPr>
                <w:b/>
                <w:sz w:val="24"/>
              </w:rPr>
              <w:t>893,255,065.00</w:t>
            </w:r>
          </w:p>
        </w:tc>
      </w:tr>
    </w:tbl>
    <w:p>
      <w:pPr>
        <w:pStyle w:val="BodyText"/>
        <w:rPr>
          <w:sz w:val="16"/>
        </w:rPr>
      </w:pPr>
    </w:p>
    <w:p>
      <w:pPr>
        <w:pStyle w:val="BodyText"/>
        <w:spacing w:before="93"/>
        <w:ind w:left="260" w:right="282"/>
        <w:jc w:val="both"/>
      </w:pPr>
      <w:r>
        <w:rPr/>
        <w:drawing>
          <wp:anchor distT="0" distB="0" distL="0" distR="0" allowOverlap="1" layoutInCell="1" locked="0" behindDoc="1" simplePos="0" relativeHeight="251365376">
            <wp:simplePos x="0" y="0"/>
            <wp:positionH relativeFrom="page">
              <wp:posOffset>1317324</wp:posOffset>
            </wp:positionH>
            <wp:positionV relativeFrom="paragraph">
              <wp:posOffset>-1058978</wp:posOffset>
            </wp:positionV>
            <wp:extent cx="5022642" cy="5144770"/>
            <wp:effectExtent l="0" t="0" r="0" b="0"/>
            <wp:wrapNone/>
            <wp:docPr id="9" name="image2.png"/>
            <wp:cNvGraphicFramePr>
              <a:graphicFrameLocks noChangeAspect="1"/>
            </wp:cNvGraphicFramePr>
            <a:graphic>
              <a:graphicData uri="http://schemas.openxmlformats.org/drawingml/2006/picture">
                <pic:pic>
                  <pic:nvPicPr>
                    <pic:cNvPr id="10" name="image2.png"/>
                    <pic:cNvPicPr/>
                  </pic:nvPicPr>
                  <pic:blipFill>
                    <a:blip r:embed="rId6" cstate="print"/>
                    <a:stretch>
                      <a:fillRect/>
                    </a:stretch>
                  </pic:blipFill>
                  <pic:spPr>
                    <a:xfrm>
                      <a:off x="0" y="0"/>
                      <a:ext cx="5022642" cy="5144770"/>
                    </a:xfrm>
                    <a:prstGeom prst="rect">
                      <a:avLst/>
                    </a:prstGeom>
                  </pic:spPr>
                </pic:pic>
              </a:graphicData>
            </a:graphic>
          </wp:anchor>
        </w:drawing>
      </w:r>
      <w:r>
        <w:rPr/>
        <w:t>Dado en Palacio de Gobierno, Residencia Oficial del Titular Poder Ejecutivo del Estado de Nayarit, en la ciudad de Tepic, su capital, a los dieciséis días del mes enero de dos mil veinte.</w:t>
      </w:r>
    </w:p>
    <w:p>
      <w:pPr>
        <w:pStyle w:val="BodyText"/>
        <w:rPr>
          <w:sz w:val="26"/>
        </w:rPr>
      </w:pPr>
    </w:p>
    <w:p>
      <w:pPr>
        <w:pStyle w:val="BodyText"/>
        <w:rPr>
          <w:sz w:val="22"/>
        </w:rPr>
      </w:pPr>
    </w:p>
    <w:p>
      <w:pPr>
        <w:spacing w:before="0"/>
        <w:ind w:left="260" w:right="273" w:firstLine="0"/>
        <w:jc w:val="both"/>
        <w:rPr>
          <w:i/>
          <w:sz w:val="20"/>
        </w:rPr>
      </w:pPr>
      <w:r>
        <w:rPr>
          <w:b/>
          <w:sz w:val="24"/>
        </w:rPr>
        <w:t>L.C. ANTONIO ECHEVARRÍA GARCÍA, </w:t>
      </w:r>
      <w:r>
        <w:rPr>
          <w:sz w:val="24"/>
        </w:rPr>
        <w:t>GOBERNADOR CONSTITUCIONAL DEL ESTADO.- </w:t>
      </w:r>
      <w:r>
        <w:rPr>
          <w:i/>
          <w:sz w:val="20"/>
        </w:rPr>
        <w:t>Rúbrica.- </w:t>
      </w:r>
      <w:r>
        <w:rPr>
          <w:b/>
          <w:sz w:val="24"/>
        </w:rPr>
        <w:t>LIC. JOSÉ ANTONIO SERRANO GUZMÁN, </w:t>
      </w:r>
      <w:r>
        <w:rPr>
          <w:sz w:val="24"/>
        </w:rPr>
        <w:t>SECRETARIO GENERAL DE GOBIERNO.- </w:t>
      </w:r>
      <w:r>
        <w:rPr>
          <w:i/>
          <w:sz w:val="20"/>
        </w:rPr>
        <w:t>Rúbrica.- </w:t>
      </w:r>
      <w:r>
        <w:rPr>
          <w:b/>
          <w:sz w:val="24"/>
        </w:rPr>
        <w:t>L.C. JUAN LUIS CHUMACERO DÍAZ, </w:t>
      </w:r>
      <w:r>
        <w:rPr>
          <w:sz w:val="24"/>
        </w:rPr>
        <w:t>SECRETARIO DE ADMINISTRACIÓN Y FINANZAS.- </w:t>
      </w:r>
      <w:r>
        <w:rPr>
          <w:i/>
          <w:sz w:val="20"/>
        </w:rPr>
        <w:t>Rúbrica.- </w:t>
      </w:r>
      <w:r>
        <w:rPr>
          <w:b/>
          <w:sz w:val="24"/>
        </w:rPr>
        <w:t>L.E. JOSÉ DAVID GUERRERO CASTELLÓN, </w:t>
      </w:r>
      <w:r>
        <w:rPr>
          <w:sz w:val="24"/>
        </w:rPr>
        <w:t>SECRETARIO DE DESARROLLO SUSTENTABLE.- </w:t>
      </w:r>
      <w:r>
        <w:rPr>
          <w:i/>
          <w:sz w:val="20"/>
        </w:rPr>
        <w:t>Rúbrica.</w:t>
      </w:r>
    </w:p>
    <w:sectPr>
      <w:headerReference w:type="default" r:id="rId9"/>
      <w:pgSz w:w="12250" w:h="15850"/>
      <w:pgMar w:header="730" w:footer="0" w:top="1000" w:bottom="280" w:left="10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954176" from="63.023998pt,50.039993pt" to="547.173998pt,50.039993pt" stroked="true" strokeweight=".96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62.023998pt;margin-top:35.507652pt;width:106.65pt;height:16.5pt;mso-position-horizontal-relative:page;mso-position-vertical-relative:page;z-index:-251953152" type="#_x0000_t202" filled="false" stroked="false">
          <v:textbox inset="0,0,0,0">
            <w:txbxContent>
              <w:p>
                <w:pPr>
                  <w:spacing w:before="10"/>
                  <w:ind w:left="20" w:right="0" w:firstLine="0"/>
                  <w:jc w:val="left"/>
                  <w:rPr>
                    <w:sz w:val="26"/>
                  </w:rPr>
                </w:pPr>
                <w:r>
                  <w:rPr>
                    <w:sz w:val="26"/>
                  </w:rPr>
                  <w:t>2 Periódico Oficial</w:t>
                </w:r>
              </w:p>
            </w:txbxContent>
          </v:textbox>
          <w10:wrap type="none"/>
        </v:shape>
      </w:pict>
    </w:r>
    <w:r>
      <w:rPr/>
      <w:pict>
        <v:shape style="position:absolute;margin-left:379.829987pt;margin-top:35.507652pt;width:168.25pt;height:16.5pt;mso-position-horizontal-relative:page;mso-position-vertical-relative:page;z-index:-251952128" type="#_x0000_t202" filled="false" stroked="false">
          <v:textbox inset="0,0,0,0">
            <w:txbxContent>
              <w:p>
                <w:pPr>
                  <w:spacing w:before="10"/>
                  <w:ind w:left="20" w:right="0" w:firstLine="0"/>
                  <w:jc w:val="left"/>
                  <w:rPr>
                    <w:sz w:val="26"/>
                  </w:rPr>
                </w:pPr>
                <w:r>
                  <w:rPr>
                    <w:sz w:val="26"/>
                  </w:rPr>
                  <w:t>Jueves 16 de Enero de 2020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951104" from="63.023998pt,49.859997pt" to="546.933998pt,49.859997pt" stroked="true" strokeweight=".84pt" strokecolor="#000000">
          <v:stroke dashstyle="solid"/>
          <w10:wrap type="none"/>
        </v:line>
      </w:pict>
    </w:r>
    <w:r>
      <w:rPr/>
      <w:pict>
        <v:shape style="position:absolute;margin-left:62.023998pt;margin-top:35.507652pt;width:168.2pt;height:16.5pt;mso-position-horizontal-relative:page;mso-position-vertical-relative:page;z-index:-251950080" type="#_x0000_t202" filled="false" stroked="false">
          <v:textbox inset="0,0,0,0">
            <w:txbxContent>
              <w:p>
                <w:pPr>
                  <w:spacing w:before="10"/>
                  <w:ind w:left="20" w:right="0" w:firstLine="0"/>
                  <w:jc w:val="left"/>
                  <w:rPr>
                    <w:sz w:val="26"/>
                  </w:rPr>
                </w:pPr>
                <w:r>
                  <w:rPr>
                    <w:sz w:val="26"/>
                  </w:rPr>
                  <w:t>Jueves 16 de Enero de 2020</w:t>
                </w:r>
              </w:p>
            </w:txbxContent>
          </v:textbox>
          <w10:wrap type="none"/>
        </v:shape>
      </w:pict>
    </w:r>
    <w:r>
      <w:rPr/>
      <w:pict>
        <v:shape style="position:absolute;margin-left:441.299988pt;margin-top:35.507652pt;width:106.65pt;height:16.5pt;mso-position-horizontal-relative:page;mso-position-vertical-relative:page;z-index:-251949056" type="#_x0000_t202" filled="false" stroked="false">
          <v:textbox inset="0,0,0,0">
            <w:txbxContent>
              <w:p>
                <w:pPr>
                  <w:spacing w:before="10"/>
                  <w:ind w:left="20" w:right="0" w:firstLine="0"/>
                  <w:jc w:val="left"/>
                  <w:rPr>
                    <w:sz w:val="26"/>
                  </w:rPr>
                </w:pPr>
                <w:r>
                  <w:rPr>
                    <w:sz w:val="26"/>
                  </w:rPr>
                  <w:t>Periódico Oficial 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948032" from="63.023998pt,50.039993pt" to="547.173998pt,50.039993pt" stroked="true" strokeweight=".96pt" strokecolor="#000000">
          <v:stroke dashstyle="solid"/>
          <w10:wrap type="none"/>
        </v:line>
      </w:pict>
    </w:r>
    <w:r>
      <w:rPr/>
      <w:pict>
        <v:shape style="position:absolute;margin-left:62.023998pt;margin-top:35.507652pt;width:106.65pt;height:16.5pt;mso-position-horizontal-relative:page;mso-position-vertical-relative:page;z-index:-251947008" type="#_x0000_t202" filled="false" stroked="false">
          <v:textbox inset="0,0,0,0">
            <w:txbxContent>
              <w:p>
                <w:pPr>
                  <w:spacing w:before="10"/>
                  <w:ind w:left="20" w:right="0" w:firstLine="0"/>
                  <w:jc w:val="left"/>
                  <w:rPr>
                    <w:sz w:val="26"/>
                  </w:rPr>
                </w:pPr>
                <w:r>
                  <w:rPr>
                    <w:sz w:val="26"/>
                  </w:rPr>
                  <w:t>4 Periódico Oficial</w:t>
                </w:r>
              </w:p>
            </w:txbxContent>
          </v:textbox>
          <w10:wrap type="none"/>
        </v:shape>
      </w:pict>
    </w:r>
    <w:r>
      <w:rPr/>
      <w:pict>
        <v:shape style="position:absolute;margin-left:379.829987pt;margin-top:35.507652pt;width:168.25pt;height:16.5pt;mso-position-horizontal-relative:page;mso-position-vertical-relative:page;z-index:-251945984" type="#_x0000_t202" filled="false" stroked="false">
          <v:textbox inset="0,0,0,0">
            <w:txbxContent>
              <w:p>
                <w:pPr>
                  <w:spacing w:before="10"/>
                  <w:ind w:left="20" w:right="0" w:firstLine="0"/>
                  <w:jc w:val="left"/>
                  <w:rPr>
                    <w:sz w:val="26"/>
                  </w:rPr>
                </w:pPr>
                <w:r>
                  <w:rPr>
                    <w:sz w:val="26"/>
                  </w:rPr>
                  <w:t>Jueves 16 de Enero de 2020</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ind w:left="1467" w:right="1487" w:firstLine="1"/>
      <w:jc w:val="center"/>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ind w:left="1284" w:right="1281"/>
      <w:jc w:val="center"/>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ANEXO DE EJECUCIÓN No</dc:title>
  <dcterms:created xsi:type="dcterms:W3CDTF">2020-04-30T21:41:57Z</dcterms:created>
  <dcterms:modified xsi:type="dcterms:W3CDTF">2020-04-30T21:41:57Z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2016</vt:lpwstr>
  </property>
  <property fmtid="{D5CDD505-2E9C-101B-9397-08002B2CF9AE}" pid="4" name="LastSaved">
    <vt:filetime>2020-04-30T00:00:00Z</vt:filetime>
  </property>
</Properties>
</file>